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77DB4182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4EFA3" w14:textId="404D06FC" w:rsidR="00FB29B2" w:rsidRPr="00FB29B2" w:rsidRDefault="00FB29B2" w:rsidP="00E05011">
      <w:pPr>
        <w:jc w:val="center"/>
        <w:rPr>
          <w:sz w:val="36"/>
          <w:szCs w:val="36"/>
        </w:rPr>
      </w:pPr>
      <w:r w:rsidRPr="00FB29B2">
        <w:rPr>
          <w:sz w:val="36"/>
          <w:szCs w:val="36"/>
        </w:rPr>
        <w:t>Correção</w:t>
      </w:r>
      <w:r w:rsidR="00AD139C" w:rsidRPr="00FB29B2">
        <w:rPr>
          <w:sz w:val="36"/>
          <w:szCs w:val="36"/>
        </w:rPr>
        <w:t xml:space="preserve"> </w:t>
      </w:r>
      <w:r w:rsidRPr="00FB29B2">
        <w:rPr>
          <w:sz w:val="36"/>
          <w:szCs w:val="36"/>
        </w:rPr>
        <w:t>p</w:t>
      </w:r>
      <w:r w:rsidR="00AD139C" w:rsidRPr="00FB29B2">
        <w:rPr>
          <w:sz w:val="36"/>
          <w:szCs w:val="36"/>
        </w:rPr>
        <w:t xml:space="preserve">ágina </w:t>
      </w:r>
      <w:r w:rsidR="00BF02E4" w:rsidRPr="00FB29B2">
        <w:rPr>
          <w:sz w:val="36"/>
          <w:szCs w:val="36"/>
        </w:rPr>
        <w:t>9</w:t>
      </w:r>
      <w:r w:rsidR="00AD139C" w:rsidRPr="00FB29B2">
        <w:rPr>
          <w:sz w:val="36"/>
          <w:szCs w:val="36"/>
        </w:rPr>
        <w:t>4 (nº 1 ao 7)</w:t>
      </w:r>
    </w:p>
    <w:p w14:paraId="26E7A80E" w14:textId="77777777" w:rsidR="00E05011" w:rsidRDefault="00E05011" w:rsidP="00E05011">
      <w:pPr>
        <w:spacing w:after="0" w:line="240" w:lineRule="auto"/>
        <w:jc w:val="both"/>
        <w:rPr>
          <w:rFonts w:ascii="Arial" w:hAnsi="Arial" w:cs="Arial"/>
        </w:rPr>
      </w:pPr>
    </w:p>
    <w:p w14:paraId="6611B8CD" w14:textId="502141D7" w:rsidR="00FB29B2" w:rsidRPr="00E05011" w:rsidRDefault="00FB29B2" w:rsidP="00E05011">
      <w:pPr>
        <w:spacing w:after="0" w:line="240" w:lineRule="auto"/>
        <w:jc w:val="both"/>
        <w:rPr>
          <w:rFonts w:ascii="Arial" w:hAnsi="Arial" w:cs="Arial"/>
        </w:rPr>
      </w:pPr>
      <w:r w:rsidRPr="00E05011">
        <w:rPr>
          <w:rFonts w:ascii="Arial" w:hAnsi="Arial" w:cs="Arial"/>
        </w:rPr>
        <w:t>1. América Anglo-Saxônica: Estados Unidos e Canadá.</w:t>
      </w:r>
    </w:p>
    <w:p w14:paraId="2F3D5BB4" w14:textId="00B1032B" w:rsidR="00FB29B2" w:rsidRPr="00E05011" w:rsidRDefault="00FB29B2" w:rsidP="00E05011">
      <w:pPr>
        <w:spacing w:after="0" w:line="240" w:lineRule="auto"/>
        <w:jc w:val="both"/>
        <w:rPr>
          <w:rFonts w:ascii="Arial" w:hAnsi="Arial" w:cs="Arial"/>
        </w:rPr>
      </w:pPr>
      <w:r w:rsidRPr="00E05011">
        <w:rPr>
          <w:rFonts w:ascii="Arial" w:hAnsi="Arial" w:cs="Arial"/>
        </w:rPr>
        <w:t>América Latina: Brasil e México.</w:t>
      </w:r>
    </w:p>
    <w:p w14:paraId="21D33EB9" w14:textId="401A069A" w:rsidR="00FB29B2" w:rsidRPr="00E05011" w:rsidRDefault="00FB29B2" w:rsidP="00E05011">
      <w:pPr>
        <w:spacing w:after="0" w:line="240" w:lineRule="auto"/>
        <w:jc w:val="both"/>
        <w:rPr>
          <w:rFonts w:ascii="Arial" w:hAnsi="Arial" w:cs="Arial"/>
        </w:rPr>
      </w:pPr>
    </w:p>
    <w:p w14:paraId="417C145E" w14:textId="1690BFBC" w:rsidR="00FB29B2" w:rsidRPr="00E05011" w:rsidRDefault="00FB29B2" w:rsidP="00E05011">
      <w:pPr>
        <w:spacing w:after="0" w:line="240" w:lineRule="auto"/>
        <w:jc w:val="both"/>
        <w:rPr>
          <w:rFonts w:ascii="Arial" w:hAnsi="Arial" w:cs="Arial"/>
        </w:rPr>
      </w:pPr>
      <w:r w:rsidRPr="00E05011">
        <w:rPr>
          <w:rFonts w:ascii="Arial" w:hAnsi="Arial" w:cs="Arial"/>
        </w:rPr>
        <w:t xml:space="preserve">2. Caracteriza-se por altas montanhas de formação recente. Nos Estados Unidos, essa formação é conhecida como Montanhas Rochosas; na América do Sul, como cordilheira dos Andes. </w:t>
      </w:r>
    </w:p>
    <w:p w14:paraId="4A185461" w14:textId="2269F936" w:rsidR="00FB29B2" w:rsidRPr="00E05011" w:rsidRDefault="00FB29B2" w:rsidP="00E05011">
      <w:pPr>
        <w:spacing w:after="0" w:line="240" w:lineRule="auto"/>
        <w:jc w:val="both"/>
        <w:rPr>
          <w:rFonts w:ascii="Arial" w:hAnsi="Arial" w:cs="Arial"/>
        </w:rPr>
      </w:pPr>
    </w:p>
    <w:p w14:paraId="568A5CA4" w14:textId="6AEC7E93" w:rsidR="00FB29B2" w:rsidRPr="00E05011" w:rsidRDefault="00FB29B2" w:rsidP="00E05011">
      <w:pPr>
        <w:spacing w:after="0" w:line="240" w:lineRule="auto"/>
        <w:jc w:val="both"/>
        <w:rPr>
          <w:rFonts w:ascii="Arial" w:hAnsi="Arial" w:cs="Arial"/>
        </w:rPr>
      </w:pPr>
      <w:r w:rsidRPr="00E05011">
        <w:rPr>
          <w:rFonts w:ascii="Arial" w:hAnsi="Arial" w:cs="Arial"/>
        </w:rPr>
        <w:t>3. D</w:t>
      </w:r>
    </w:p>
    <w:p w14:paraId="0DC0C571" w14:textId="3763333A" w:rsidR="00FB29B2" w:rsidRPr="00E05011" w:rsidRDefault="00FB29B2" w:rsidP="00E05011">
      <w:pPr>
        <w:spacing w:after="0" w:line="240" w:lineRule="auto"/>
        <w:jc w:val="both"/>
        <w:rPr>
          <w:rFonts w:ascii="Arial" w:hAnsi="Arial" w:cs="Arial"/>
        </w:rPr>
      </w:pPr>
    </w:p>
    <w:p w14:paraId="73B1143B" w14:textId="276A976A" w:rsidR="00FB29B2" w:rsidRPr="00E05011" w:rsidRDefault="00FB29B2" w:rsidP="00E05011">
      <w:pPr>
        <w:spacing w:after="0" w:line="240" w:lineRule="auto"/>
        <w:jc w:val="both"/>
        <w:rPr>
          <w:rFonts w:ascii="Arial" w:hAnsi="Arial" w:cs="Arial"/>
        </w:rPr>
      </w:pPr>
      <w:r w:rsidRPr="00E05011">
        <w:rPr>
          <w:rFonts w:ascii="Arial" w:hAnsi="Arial" w:cs="Arial"/>
        </w:rPr>
        <w:t>4. D</w:t>
      </w:r>
    </w:p>
    <w:p w14:paraId="3F3F76C1" w14:textId="00BB9B44" w:rsidR="00FB29B2" w:rsidRPr="00E05011" w:rsidRDefault="00FB29B2" w:rsidP="00E05011">
      <w:pPr>
        <w:spacing w:after="0" w:line="240" w:lineRule="auto"/>
        <w:jc w:val="both"/>
        <w:rPr>
          <w:rFonts w:ascii="Arial" w:hAnsi="Arial" w:cs="Arial"/>
        </w:rPr>
      </w:pPr>
    </w:p>
    <w:p w14:paraId="38402851" w14:textId="079FBDF9" w:rsidR="00FB29B2" w:rsidRPr="00E05011" w:rsidRDefault="00FB29B2" w:rsidP="00E05011">
      <w:pPr>
        <w:spacing w:after="0" w:line="240" w:lineRule="auto"/>
        <w:jc w:val="both"/>
        <w:rPr>
          <w:rFonts w:ascii="Arial" w:hAnsi="Arial" w:cs="Arial"/>
        </w:rPr>
      </w:pPr>
      <w:r w:rsidRPr="00E05011">
        <w:rPr>
          <w:rFonts w:ascii="Arial" w:hAnsi="Arial" w:cs="Arial"/>
        </w:rPr>
        <w:t xml:space="preserve">5. A pirâmide etária do Haiti de 2018 apresenta base larga e topo estreito, ou seja, grande quantidade de jovens e número reduzido de idosos – forma típica de uma pirâmide de países em desenvolvimento. </w:t>
      </w:r>
    </w:p>
    <w:p w14:paraId="1647BD6B" w14:textId="593A820B" w:rsidR="00FB29B2" w:rsidRPr="00E05011" w:rsidRDefault="00FB29B2" w:rsidP="00E05011">
      <w:pPr>
        <w:spacing w:after="0" w:line="240" w:lineRule="auto"/>
        <w:jc w:val="both"/>
        <w:rPr>
          <w:rFonts w:ascii="Arial" w:hAnsi="Arial" w:cs="Arial"/>
        </w:rPr>
      </w:pPr>
    </w:p>
    <w:p w14:paraId="769D6F93" w14:textId="77777777" w:rsidR="00F34733" w:rsidRPr="00E05011" w:rsidRDefault="00FB29B2" w:rsidP="00E05011">
      <w:pPr>
        <w:spacing w:after="0" w:line="240" w:lineRule="auto"/>
        <w:jc w:val="both"/>
        <w:rPr>
          <w:rFonts w:ascii="Arial" w:hAnsi="Arial" w:cs="Arial"/>
        </w:rPr>
      </w:pPr>
      <w:r w:rsidRPr="00E05011">
        <w:rPr>
          <w:rFonts w:ascii="Arial" w:hAnsi="Arial" w:cs="Arial"/>
        </w:rPr>
        <w:t xml:space="preserve">6. </w:t>
      </w:r>
      <w:r w:rsidR="00F34733" w:rsidRPr="00E05011">
        <w:rPr>
          <w:rFonts w:ascii="Arial" w:hAnsi="Arial" w:cs="Arial"/>
        </w:rPr>
        <w:t xml:space="preserve">A primeira foto é representativa da indústria anglo-saxônica, desenvolvida, com emprego intensivo de maquinário e tecnologia. A segunda representa um sistema industrial mais característico de países da América Latina, com baixo desenvolvimento tecnológico e maior emprego de mão de obra. </w:t>
      </w:r>
    </w:p>
    <w:p w14:paraId="58769278" w14:textId="77777777" w:rsidR="00F34733" w:rsidRPr="00E05011" w:rsidRDefault="00F34733" w:rsidP="00E05011">
      <w:pPr>
        <w:spacing w:after="0" w:line="240" w:lineRule="auto"/>
        <w:jc w:val="both"/>
        <w:rPr>
          <w:rFonts w:ascii="Arial" w:hAnsi="Arial" w:cs="Arial"/>
        </w:rPr>
      </w:pPr>
    </w:p>
    <w:p w14:paraId="1805B0F2" w14:textId="77777777" w:rsidR="00F34733" w:rsidRPr="00E05011" w:rsidRDefault="00F34733" w:rsidP="00E05011">
      <w:pPr>
        <w:spacing w:after="0" w:line="240" w:lineRule="auto"/>
        <w:jc w:val="both"/>
        <w:rPr>
          <w:rFonts w:ascii="Arial" w:hAnsi="Arial" w:cs="Arial"/>
        </w:rPr>
      </w:pPr>
      <w:r w:rsidRPr="00E05011">
        <w:rPr>
          <w:rFonts w:ascii="Arial" w:hAnsi="Arial" w:cs="Arial"/>
        </w:rPr>
        <w:t>7. a) O setor terciário.</w:t>
      </w:r>
    </w:p>
    <w:p w14:paraId="21BFC470" w14:textId="77777777" w:rsidR="00F34733" w:rsidRPr="00E05011" w:rsidRDefault="00F34733" w:rsidP="00E05011">
      <w:pPr>
        <w:spacing w:after="0" w:line="240" w:lineRule="auto"/>
        <w:jc w:val="both"/>
        <w:rPr>
          <w:rFonts w:ascii="Arial" w:hAnsi="Arial" w:cs="Arial"/>
        </w:rPr>
      </w:pPr>
    </w:p>
    <w:p w14:paraId="349BC779" w14:textId="496DD910" w:rsidR="00FB29B2" w:rsidRPr="00E05011" w:rsidRDefault="00F34733" w:rsidP="00E05011">
      <w:pPr>
        <w:spacing w:after="0" w:line="240" w:lineRule="auto"/>
        <w:jc w:val="both"/>
        <w:rPr>
          <w:rFonts w:ascii="Arial" w:hAnsi="Arial" w:cs="Arial"/>
        </w:rPr>
      </w:pPr>
      <w:r w:rsidRPr="00E05011">
        <w:rPr>
          <w:rFonts w:ascii="Arial" w:hAnsi="Arial" w:cs="Arial"/>
        </w:rPr>
        <w:t xml:space="preserve">b) A partir da década de 1970, o desenvolvimento e a implantação de novas tecnologias na indústria, além da concentração de terras (característica da América Latina) e da modernização do campo, favoreceram a urbanização e o crescimento do setor terciário, pois a mão de obra dispensada pelos setores primário e secundário migrou para o comércio e a prestação de serviços (setor terciário).     </w:t>
      </w:r>
    </w:p>
    <w:p w14:paraId="4A306459" w14:textId="767B63E8" w:rsidR="005769BD" w:rsidRPr="00E05011" w:rsidRDefault="005769BD" w:rsidP="00E05011">
      <w:pPr>
        <w:spacing w:after="0" w:line="240" w:lineRule="auto"/>
        <w:jc w:val="both"/>
        <w:rPr>
          <w:rFonts w:ascii="Arial" w:hAnsi="Arial" w:cs="Arial"/>
        </w:rPr>
      </w:pPr>
    </w:p>
    <w:sectPr w:rsidR="005769BD" w:rsidRPr="00E05011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450922"/>
    <w:rsid w:val="00505939"/>
    <w:rsid w:val="005769BD"/>
    <w:rsid w:val="007772BE"/>
    <w:rsid w:val="00875CCC"/>
    <w:rsid w:val="00AD139C"/>
    <w:rsid w:val="00BF02E4"/>
    <w:rsid w:val="00E05011"/>
    <w:rsid w:val="00E07179"/>
    <w:rsid w:val="00F34733"/>
    <w:rsid w:val="00F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EA65-26C4-405C-8C0C-C2BFC472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11</cp:revision>
  <dcterms:created xsi:type="dcterms:W3CDTF">2020-03-30T12:51:00Z</dcterms:created>
  <dcterms:modified xsi:type="dcterms:W3CDTF">2020-04-06T12:20:00Z</dcterms:modified>
</cp:coreProperties>
</file>