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87BE9" w14:textId="77DB4182" w:rsidR="00E07179" w:rsidRDefault="00E07179" w:rsidP="007772BE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8AFCE" w14:textId="48E585A0" w:rsidR="004135F7" w:rsidRPr="00953072" w:rsidRDefault="004135F7" w:rsidP="004135F7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pt-BR"/>
        </w:rPr>
      </w:pPr>
      <w:r w:rsidRPr="00953072">
        <w:rPr>
          <w:rFonts w:ascii="Arial" w:eastAsia="Times New Roman" w:hAnsi="Arial" w:cs="Arial"/>
          <w:b/>
          <w:bCs/>
          <w:sz w:val="36"/>
          <w:szCs w:val="36"/>
          <w:lang w:eastAsia="pt-BR"/>
        </w:rPr>
        <w:t>Correção</w:t>
      </w:r>
    </w:p>
    <w:p w14:paraId="68B6ECAF" w14:textId="57ACFC06" w:rsidR="00352708" w:rsidRPr="00953072" w:rsidRDefault="00352708" w:rsidP="00352708">
      <w:pPr>
        <w:spacing w:after="0" w:line="276" w:lineRule="auto"/>
        <w:jc w:val="both"/>
        <w:rPr>
          <w:rFonts w:ascii="Arial" w:eastAsia="Times New Roman" w:hAnsi="Arial" w:cs="Arial"/>
          <w:sz w:val="36"/>
          <w:szCs w:val="36"/>
          <w:lang w:eastAsia="pt-BR"/>
        </w:rPr>
      </w:pPr>
      <w:r w:rsidRPr="00953072">
        <w:rPr>
          <w:rFonts w:ascii="Arial" w:eastAsia="Times New Roman" w:hAnsi="Arial" w:cs="Arial"/>
          <w:b/>
          <w:bCs/>
          <w:sz w:val="36"/>
          <w:szCs w:val="36"/>
          <w:lang w:eastAsia="pt-BR"/>
        </w:rPr>
        <w:t xml:space="preserve"> </w:t>
      </w:r>
      <w:r w:rsidR="004135F7" w:rsidRPr="00953072">
        <w:rPr>
          <w:rFonts w:ascii="Arial" w:eastAsia="Times New Roman" w:hAnsi="Arial" w:cs="Arial"/>
          <w:sz w:val="36"/>
          <w:szCs w:val="36"/>
          <w:lang w:eastAsia="pt-BR"/>
        </w:rPr>
        <w:t>P</w:t>
      </w:r>
      <w:r w:rsidRPr="00953072">
        <w:rPr>
          <w:rFonts w:ascii="Arial" w:eastAsia="Times New Roman" w:hAnsi="Arial" w:cs="Arial"/>
          <w:sz w:val="36"/>
          <w:szCs w:val="36"/>
          <w:lang w:eastAsia="pt-BR"/>
        </w:rPr>
        <w:t>ágs. 118 e119 (nº 1, 2, 3, 4, 5 e 7)</w:t>
      </w:r>
    </w:p>
    <w:p w14:paraId="4CA2E42B" w14:textId="77777777" w:rsidR="00352708" w:rsidRPr="00953072" w:rsidRDefault="00352708" w:rsidP="00953072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14:paraId="2E568D0D" w14:textId="7713D57A" w:rsidR="00513D66" w:rsidRPr="00953072" w:rsidRDefault="0028369E" w:rsidP="00953072">
      <w:pPr>
        <w:pStyle w:val="PargrafodaLista"/>
        <w:numPr>
          <w:ilvl w:val="0"/>
          <w:numId w:val="2"/>
        </w:numPr>
        <w:tabs>
          <w:tab w:val="left" w:pos="426"/>
        </w:tabs>
        <w:spacing w:after="0" w:line="276" w:lineRule="auto"/>
        <w:ind w:left="0" w:firstLine="0"/>
        <w:rPr>
          <w:rFonts w:ascii="Arial" w:eastAsia="Times New Roman" w:hAnsi="Arial" w:cs="Arial"/>
          <w:sz w:val="28"/>
          <w:szCs w:val="28"/>
          <w:lang w:eastAsia="pt-BR"/>
        </w:rPr>
      </w:pPr>
      <w:r w:rsidRPr="00953072">
        <w:rPr>
          <w:rFonts w:ascii="Arial" w:eastAsia="Times New Roman" w:hAnsi="Arial" w:cs="Arial"/>
          <w:sz w:val="28"/>
          <w:szCs w:val="28"/>
          <w:lang w:eastAsia="pt-BR"/>
        </w:rPr>
        <w:t xml:space="preserve">O risco de pobreza ou exclusão social é um indicador </w:t>
      </w:r>
      <w:r w:rsidR="00066C98" w:rsidRPr="00953072">
        <w:rPr>
          <w:rFonts w:ascii="Arial" w:eastAsia="Times New Roman" w:hAnsi="Arial" w:cs="Arial"/>
          <w:sz w:val="28"/>
          <w:szCs w:val="28"/>
          <w:lang w:eastAsia="pt-BR"/>
        </w:rPr>
        <w:t xml:space="preserve">que avalia o percentual de pessoas que recebem menos de 60% do rendimento médio mensal per capita do país onde vivem. Bulgária, Romênia e Grécia. </w:t>
      </w:r>
    </w:p>
    <w:p w14:paraId="45375710" w14:textId="07D28C4E" w:rsidR="00066C98" w:rsidRPr="00953072" w:rsidRDefault="00066C98" w:rsidP="00953072">
      <w:pPr>
        <w:pStyle w:val="PargrafodaLista"/>
        <w:numPr>
          <w:ilvl w:val="0"/>
          <w:numId w:val="2"/>
        </w:numPr>
        <w:tabs>
          <w:tab w:val="left" w:pos="426"/>
        </w:tabs>
        <w:spacing w:after="0" w:line="276" w:lineRule="auto"/>
        <w:ind w:left="0" w:firstLine="0"/>
        <w:rPr>
          <w:rFonts w:ascii="Arial" w:eastAsia="Times New Roman" w:hAnsi="Arial" w:cs="Arial"/>
          <w:sz w:val="28"/>
          <w:szCs w:val="28"/>
          <w:lang w:eastAsia="pt-BR"/>
        </w:rPr>
      </w:pPr>
      <w:r w:rsidRPr="00953072">
        <w:rPr>
          <w:rFonts w:ascii="Arial" w:eastAsia="Times New Roman" w:hAnsi="Arial" w:cs="Arial"/>
          <w:sz w:val="28"/>
          <w:szCs w:val="28"/>
          <w:lang w:eastAsia="pt-BR"/>
        </w:rPr>
        <w:t>A partir de 2008, por conta dos efeitos da crise econômica que atingiu profundamente a Europa. A partir de 2014, com o início da recuperação econômica da União Europeia, ocorreu uma redução dessas taxas, que se aproximavam em 2017 dos patamares anteriores à crise.</w:t>
      </w:r>
    </w:p>
    <w:p w14:paraId="292EB4AA" w14:textId="125239B1" w:rsidR="00066C98" w:rsidRPr="00953072" w:rsidRDefault="00066C98" w:rsidP="00953072">
      <w:pPr>
        <w:pStyle w:val="PargrafodaLista"/>
        <w:numPr>
          <w:ilvl w:val="0"/>
          <w:numId w:val="2"/>
        </w:numPr>
        <w:tabs>
          <w:tab w:val="left" w:pos="426"/>
        </w:tabs>
        <w:spacing w:after="0" w:line="276" w:lineRule="auto"/>
        <w:ind w:left="0" w:firstLine="0"/>
        <w:rPr>
          <w:rFonts w:ascii="Arial" w:eastAsia="Times New Roman" w:hAnsi="Arial" w:cs="Arial"/>
          <w:sz w:val="28"/>
          <w:szCs w:val="28"/>
          <w:lang w:eastAsia="pt-BR"/>
        </w:rPr>
      </w:pPr>
      <w:r w:rsidRPr="00953072">
        <w:rPr>
          <w:rFonts w:ascii="Arial" w:eastAsia="Times New Roman" w:hAnsi="Arial" w:cs="Arial"/>
          <w:sz w:val="28"/>
          <w:szCs w:val="28"/>
          <w:lang w:eastAsia="pt-BR"/>
        </w:rPr>
        <w:t>Na União Europeia são desenvolvidas políticas regionais com o objetivo de promover o crescimento econômico e a melhora da qualidade de vida da população, sobretudo a dos países menos desenvolvidos, que são os que mais têm recebido auxílio das instituições da UE.</w:t>
      </w:r>
    </w:p>
    <w:p w14:paraId="777BFB10" w14:textId="4CCCFC6D" w:rsidR="00066C98" w:rsidRPr="00953072" w:rsidRDefault="00066C98" w:rsidP="00953072">
      <w:pPr>
        <w:pStyle w:val="PargrafodaLista"/>
        <w:numPr>
          <w:ilvl w:val="0"/>
          <w:numId w:val="2"/>
        </w:numPr>
        <w:tabs>
          <w:tab w:val="left" w:pos="426"/>
        </w:tabs>
        <w:spacing w:after="0" w:line="276" w:lineRule="auto"/>
        <w:ind w:left="0" w:firstLine="0"/>
        <w:rPr>
          <w:rFonts w:ascii="Arial" w:eastAsia="Times New Roman" w:hAnsi="Arial" w:cs="Arial"/>
          <w:sz w:val="28"/>
          <w:szCs w:val="28"/>
          <w:lang w:eastAsia="pt-BR"/>
        </w:rPr>
      </w:pPr>
      <w:r w:rsidRPr="00953072">
        <w:rPr>
          <w:rFonts w:ascii="Arial" w:eastAsia="Times New Roman" w:hAnsi="Arial" w:cs="Arial"/>
          <w:sz w:val="28"/>
          <w:szCs w:val="28"/>
          <w:lang w:eastAsia="pt-BR"/>
        </w:rPr>
        <w:t>a) Garantir que 75% da população com idade entre 20 e 64 anos estivesse empregada, investir 3% do PIB em inovação e tecnologia, reduzir emissões de gases de efeito estufa e ampliar a produção de energias renováveis, diminuir taxas de abandono escolar, e reduzir índices de pobreza.</w:t>
      </w:r>
    </w:p>
    <w:p w14:paraId="6EFCD2A9" w14:textId="057A93C9" w:rsidR="00066C98" w:rsidRPr="00953072" w:rsidRDefault="00066C98" w:rsidP="00953072">
      <w:pPr>
        <w:pStyle w:val="PargrafodaLista"/>
        <w:tabs>
          <w:tab w:val="left" w:pos="426"/>
        </w:tabs>
        <w:spacing w:after="0" w:line="276" w:lineRule="auto"/>
        <w:ind w:left="0"/>
        <w:rPr>
          <w:rFonts w:ascii="Arial" w:eastAsia="Times New Roman" w:hAnsi="Arial" w:cs="Arial"/>
          <w:sz w:val="28"/>
          <w:szCs w:val="28"/>
          <w:lang w:eastAsia="pt-BR"/>
        </w:rPr>
      </w:pPr>
      <w:r w:rsidRPr="00953072">
        <w:rPr>
          <w:rFonts w:ascii="Arial" w:eastAsia="Times New Roman" w:hAnsi="Arial" w:cs="Arial"/>
          <w:sz w:val="28"/>
          <w:szCs w:val="28"/>
          <w:lang w:eastAsia="pt-BR"/>
        </w:rPr>
        <w:t>b) Ter desenvolvimento econômico, manter um regime pol</w:t>
      </w:r>
      <w:r w:rsidR="00546568">
        <w:rPr>
          <w:rFonts w:ascii="Arial" w:eastAsia="Times New Roman" w:hAnsi="Arial" w:cs="Arial"/>
          <w:sz w:val="28"/>
          <w:szCs w:val="28"/>
          <w:lang w:eastAsia="pt-BR"/>
        </w:rPr>
        <w:t>í</w:t>
      </w:r>
      <w:r w:rsidRPr="00953072">
        <w:rPr>
          <w:rFonts w:ascii="Arial" w:eastAsia="Times New Roman" w:hAnsi="Arial" w:cs="Arial"/>
          <w:sz w:val="28"/>
          <w:szCs w:val="28"/>
          <w:lang w:eastAsia="pt-BR"/>
        </w:rPr>
        <w:t>tico democrático que respeite os direitos humanos e aceitar a legislação da UE.</w:t>
      </w:r>
    </w:p>
    <w:p w14:paraId="6E2FE516" w14:textId="2C46C269" w:rsidR="00066C98" w:rsidRPr="00953072" w:rsidRDefault="00FD4242" w:rsidP="00953072">
      <w:pPr>
        <w:pStyle w:val="PargrafodaLista"/>
        <w:tabs>
          <w:tab w:val="left" w:pos="426"/>
        </w:tabs>
        <w:spacing w:after="0" w:line="276" w:lineRule="auto"/>
        <w:ind w:left="0"/>
        <w:rPr>
          <w:rFonts w:ascii="Arial" w:eastAsia="Times New Roman" w:hAnsi="Arial" w:cs="Arial"/>
          <w:sz w:val="28"/>
          <w:szCs w:val="28"/>
          <w:lang w:eastAsia="pt-BR"/>
        </w:rPr>
      </w:pPr>
      <w:r w:rsidRPr="00953072">
        <w:rPr>
          <w:rFonts w:ascii="Arial" w:eastAsia="Times New Roman" w:hAnsi="Arial" w:cs="Arial"/>
          <w:sz w:val="28"/>
          <w:szCs w:val="28"/>
          <w:lang w:eastAsia="pt-BR"/>
        </w:rPr>
        <w:t>c) As vantagens trazidas pela adesão dos países pobres à União Europeia são o aumento de seu mercado consumidor, a integração de sua economia ao bloco e a livre circulação de pessoas e mercadorias.</w:t>
      </w:r>
    </w:p>
    <w:p w14:paraId="1F81C6D0" w14:textId="792967CB" w:rsidR="00FD4242" w:rsidRPr="00953072" w:rsidRDefault="00FD4242" w:rsidP="00953072">
      <w:pPr>
        <w:pStyle w:val="PargrafodaLista"/>
        <w:tabs>
          <w:tab w:val="left" w:pos="426"/>
        </w:tabs>
        <w:spacing w:after="0" w:line="276" w:lineRule="auto"/>
        <w:ind w:left="0"/>
        <w:rPr>
          <w:rFonts w:ascii="Arial" w:eastAsia="Times New Roman" w:hAnsi="Arial" w:cs="Arial"/>
          <w:sz w:val="28"/>
          <w:szCs w:val="28"/>
          <w:lang w:eastAsia="pt-BR"/>
        </w:rPr>
      </w:pPr>
      <w:r w:rsidRPr="00953072">
        <w:rPr>
          <w:rFonts w:ascii="Arial" w:eastAsia="Times New Roman" w:hAnsi="Arial" w:cs="Arial"/>
          <w:sz w:val="28"/>
          <w:szCs w:val="28"/>
          <w:lang w:eastAsia="pt-BR"/>
        </w:rPr>
        <w:t>d) Não integram a União Europeia: Noruega, Suíça</w:t>
      </w:r>
      <w:r w:rsidR="00546568">
        <w:rPr>
          <w:rFonts w:ascii="Arial" w:eastAsia="Times New Roman" w:hAnsi="Arial" w:cs="Arial"/>
          <w:sz w:val="28"/>
          <w:szCs w:val="28"/>
          <w:lang w:eastAsia="pt-BR"/>
        </w:rPr>
        <w:t xml:space="preserve"> e</w:t>
      </w:r>
      <w:r w:rsidRPr="00953072">
        <w:rPr>
          <w:rFonts w:ascii="Arial" w:eastAsia="Times New Roman" w:hAnsi="Arial" w:cs="Arial"/>
          <w:sz w:val="28"/>
          <w:szCs w:val="28"/>
          <w:lang w:eastAsia="pt-BR"/>
        </w:rPr>
        <w:t xml:space="preserve"> Ucrânia.</w:t>
      </w:r>
    </w:p>
    <w:p w14:paraId="7E9F9B6B" w14:textId="1F1C8727" w:rsidR="00FD4242" w:rsidRPr="00953072" w:rsidRDefault="00FD4242" w:rsidP="00953072">
      <w:pPr>
        <w:pStyle w:val="PargrafodaLista"/>
        <w:tabs>
          <w:tab w:val="left" w:pos="426"/>
        </w:tabs>
        <w:spacing w:after="0" w:line="276" w:lineRule="auto"/>
        <w:ind w:left="0"/>
        <w:rPr>
          <w:rFonts w:ascii="Arial" w:eastAsia="Times New Roman" w:hAnsi="Arial" w:cs="Arial"/>
          <w:sz w:val="28"/>
          <w:szCs w:val="28"/>
          <w:lang w:eastAsia="pt-BR"/>
        </w:rPr>
      </w:pPr>
      <w:r w:rsidRPr="00953072">
        <w:rPr>
          <w:rFonts w:ascii="Arial" w:eastAsia="Times New Roman" w:hAnsi="Arial" w:cs="Arial"/>
          <w:sz w:val="28"/>
          <w:szCs w:val="28"/>
          <w:lang w:eastAsia="pt-BR"/>
        </w:rPr>
        <w:t>5. E.</w:t>
      </w:r>
    </w:p>
    <w:p w14:paraId="5A8443EB" w14:textId="2176DAEA" w:rsidR="00726CE7" w:rsidRPr="00953072" w:rsidRDefault="00FD4242" w:rsidP="00953072">
      <w:pPr>
        <w:pStyle w:val="PargrafodaLista"/>
        <w:tabs>
          <w:tab w:val="left" w:pos="567"/>
          <w:tab w:val="left" w:pos="709"/>
        </w:tabs>
        <w:spacing w:after="0" w:line="276" w:lineRule="auto"/>
        <w:ind w:left="0"/>
        <w:rPr>
          <w:rFonts w:ascii="Arial" w:eastAsia="Times New Roman" w:hAnsi="Arial" w:cs="Arial"/>
          <w:sz w:val="28"/>
          <w:szCs w:val="28"/>
          <w:lang w:eastAsia="pt-BR"/>
        </w:rPr>
      </w:pPr>
      <w:r w:rsidRPr="00953072">
        <w:rPr>
          <w:rFonts w:ascii="Arial" w:eastAsia="Times New Roman" w:hAnsi="Arial" w:cs="Arial"/>
          <w:sz w:val="28"/>
          <w:szCs w:val="28"/>
          <w:lang w:eastAsia="pt-BR"/>
        </w:rPr>
        <w:t>7.  a) A refinaria está localizada no distrito de Khanty-Mansi, em uma porção do território russo onde há intensa exploração de recursos energéticos.</w:t>
      </w:r>
    </w:p>
    <w:p w14:paraId="547A391B" w14:textId="67B90B03" w:rsidR="00726CE7" w:rsidRPr="00953072" w:rsidRDefault="00726CE7" w:rsidP="00953072">
      <w:pPr>
        <w:pStyle w:val="PargrafodaLista"/>
        <w:tabs>
          <w:tab w:val="left" w:pos="567"/>
          <w:tab w:val="left" w:pos="709"/>
        </w:tabs>
        <w:spacing w:after="0" w:line="276" w:lineRule="auto"/>
        <w:ind w:left="0"/>
        <w:rPr>
          <w:rFonts w:ascii="Arial" w:eastAsia="Times New Roman" w:hAnsi="Arial" w:cs="Arial"/>
          <w:sz w:val="28"/>
          <w:szCs w:val="28"/>
          <w:lang w:eastAsia="pt-BR"/>
        </w:rPr>
      </w:pPr>
      <w:r w:rsidRPr="00953072">
        <w:rPr>
          <w:rFonts w:ascii="Arial" w:eastAsia="Times New Roman" w:hAnsi="Arial" w:cs="Arial"/>
          <w:sz w:val="28"/>
          <w:szCs w:val="28"/>
          <w:lang w:eastAsia="pt-BR"/>
        </w:rPr>
        <w:t>b) A Sibéria proporciona a Rússia uma importante fonte de renda e recursos, tanto que a economia da Sibéria é baseada no extrativismo mineral , carvão , petróleo e gás.</w:t>
      </w:r>
    </w:p>
    <w:p w14:paraId="25F62065" w14:textId="77777777" w:rsidR="00FD4242" w:rsidRPr="00066C98" w:rsidRDefault="00FD4242" w:rsidP="00FD4242">
      <w:pPr>
        <w:pStyle w:val="PargrafodaLista"/>
        <w:tabs>
          <w:tab w:val="left" w:pos="567"/>
          <w:tab w:val="left" w:pos="709"/>
        </w:tabs>
        <w:spacing w:after="0" w:line="276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sectPr w:rsidR="00FD4242" w:rsidRPr="00066C98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F12976"/>
    <w:multiLevelType w:val="hybridMultilevel"/>
    <w:tmpl w:val="671AEA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20CAA"/>
    <w:rsid w:val="00066C98"/>
    <w:rsid w:val="0006754E"/>
    <w:rsid w:val="000A5236"/>
    <w:rsid w:val="001B77C0"/>
    <w:rsid w:val="001C7AC5"/>
    <w:rsid w:val="0028369E"/>
    <w:rsid w:val="00290691"/>
    <w:rsid w:val="002B7EFC"/>
    <w:rsid w:val="002D52D0"/>
    <w:rsid w:val="00352708"/>
    <w:rsid w:val="00385CDB"/>
    <w:rsid w:val="003B7AFD"/>
    <w:rsid w:val="004135F7"/>
    <w:rsid w:val="00450922"/>
    <w:rsid w:val="00464856"/>
    <w:rsid w:val="0049408C"/>
    <w:rsid w:val="00505939"/>
    <w:rsid w:val="00513D66"/>
    <w:rsid w:val="00546568"/>
    <w:rsid w:val="00552C19"/>
    <w:rsid w:val="005B67A2"/>
    <w:rsid w:val="006966E9"/>
    <w:rsid w:val="00726CE7"/>
    <w:rsid w:val="00755338"/>
    <w:rsid w:val="007772BE"/>
    <w:rsid w:val="00875CCC"/>
    <w:rsid w:val="008B6E05"/>
    <w:rsid w:val="008F39C0"/>
    <w:rsid w:val="00953072"/>
    <w:rsid w:val="00957A52"/>
    <w:rsid w:val="009B3726"/>
    <w:rsid w:val="009C41DA"/>
    <w:rsid w:val="00A96F18"/>
    <w:rsid w:val="00B60123"/>
    <w:rsid w:val="00BB3F24"/>
    <w:rsid w:val="00C666D9"/>
    <w:rsid w:val="00D341A0"/>
    <w:rsid w:val="00D81976"/>
    <w:rsid w:val="00DA6CAE"/>
    <w:rsid w:val="00DF2410"/>
    <w:rsid w:val="00E07179"/>
    <w:rsid w:val="00F77E0D"/>
    <w:rsid w:val="00FD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666D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C666D9"/>
    <w:rPr>
      <w:rFonts w:ascii="Arial" w:eastAsia="Times New Roman" w:hAnsi="Arial" w:cs="Arial"/>
    </w:rPr>
  </w:style>
  <w:style w:type="paragraph" w:styleId="PargrafodaLista">
    <w:name w:val="List Paragraph"/>
    <w:basedOn w:val="Normal"/>
    <w:uiPriority w:val="34"/>
    <w:qFormat/>
    <w:rsid w:val="00C666D9"/>
    <w:pPr>
      <w:ind w:left="720"/>
      <w:contextualSpacing/>
    </w:pPr>
  </w:style>
  <w:style w:type="table" w:styleId="Tabelacomgrade">
    <w:name w:val="Table Grid"/>
    <w:basedOn w:val="Tabelanormal"/>
    <w:uiPriority w:val="39"/>
    <w:rsid w:val="00494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9408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9408C"/>
    <w:rPr>
      <w:color w:val="605E5C"/>
      <w:shd w:val="clear" w:color="auto" w:fill="E1DFDD"/>
    </w:rPr>
  </w:style>
  <w:style w:type="table" w:customStyle="1" w:styleId="TableGrid1">
    <w:name w:val="Table Grid1"/>
    <w:basedOn w:val="Tabelanormal"/>
    <w:next w:val="Tabelacomgrade"/>
    <w:uiPriority w:val="59"/>
    <w:rsid w:val="00F77E0D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A45EE-696B-4DE4-BF7D-6ADD71C3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278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32</cp:revision>
  <dcterms:created xsi:type="dcterms:W3CDTF">2020-03-30T12:51:00Z</dcterms:created>
  <dcterms:modified xsi:type="dcterms:W3CDTF">2020-06-18T13:49:00Z</dcterms:modified>
</cp:coreProperties>
</file>