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73B1DD54" w:rsidR="00CF38A1" w:rsidRDefault="00B505B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Correção </w:t>
      </w:r>
    </w:p>
    <w:p w14:paraId="29C023C7" w14:textId="77777777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2A61960E" w:rsidR="004E5EE9" w:rsidRPr="00B505B2" w:rsidRDefault="00E00B6F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B505B2">
        <w:rPr>
          <w:rFonts w:ascii="Arial" w:hAnsi="Arial" w:cs="Arial"/>
          <w:b/>
          <w:sz w:val="24"/>
          <w:szCs w:val="24"/>
          <w:lang w:eastAsia="zh-CN"/>
        </w:rPr>
        <w:t>Pág. 2</w:t>
      </w:r>
      <w:r w:rsidR="00EB5D88" w:rsidRPr="00B505B2">
        <w:rPr>
          <w:rFonts w:ascii="Arial" w:hAnsi="Arial" w:cs="Arial"/>
          <w:b/>
          <w:sz w:val="24"/>
          <w:szCs w:val="24"/>
          <w:lang w:eastAsia="zh-CN"/>
        </w:rPr>
        <w:t>6</w:t>
      </w:r>
      <w:r w:rsidR="001C4D51">
        <w:rPr>
          <w:rFonts w:ascii="Arial" w:hAnsi="Arial" w:cs="Arial"/>
          <w:b/>
          <w:sz w:val="24"/>
          <w:szCs w:val="24"/>
          <w:lang w:eastAsia="zh-CN"/>
        </w:rPr>
        <w:t>9</w:t>
      </w:r>
      <w:r w:rsidRPr="00B505B2">
        <w:rPr>
          <w:rFonts w:ascii="Arial" w:hAnsi="Arial" w:cs="Arial"/>
          <w:b/>
          <w:sz w:val="24"/>
          <w:szCs w:val="24"/>
          <w:lang w:eastAsia="zh-CN"/>
        </w:rPr>
        <w:t xml:space="preserve"> (nº 1 </w:t>
      </w:r>
      <w:r w:rsidR="003A3B72" w:rsidRPr="00B505B2">
        <w:rPr>
          <w:rFonts w:ascii="Arial" w:hAnsi="Arial" w:cs="Arial"/>
          <w:b/>
          <w:sz w:val="24"/>
          <w:szCs w:val="24"/>
          <w:lang w:eastAsia="zh-CN"/>
        </w:rPr>
        <w:t>e 2</w:t>
      </w:r>
      <w:r w:rsidRPr="00B505B2">
        <w:rPr>
          <w:rFonts w:ascii="Arial" w:hAnsi="Arial" w:cs="Arial"/>
          <w:b/>
          <w:sz w:val="24"/>
          <w:szCs w:val="24"/>
          <w:lang w:eastAsia="zh-CN"/>
        </w:rPr>
        <w:t>)</w:t>
      </w:r>
    </w:p>
    <w:p w14:paraId="45C472D7" w14:textId="1C767AF9" w:rsidR="00B505B2" w:rsidRDefault="00B505B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6A8B7DD" w14:textId="7CD6E7CC" w:rsidR="00B505B2" w:rsidRP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Pr="00B505B2">
        <w:rPr>
          <w:rFonts w:ascii="Arial" w:hAnsi="Arial" w:cs="Arial"/>
          <w:bCs/>
          <w:sz w:val="24"/>
          <w:szCs w:val="24"/>
          <w:lang w:eastAsia="zh-CN"/>
        </w:rPr>
        <w:t>As relações de trabalho na propriedade rural são a principal diferença entre a agricultura familiar e a agricultura patronal. Quando denominamos camponeses aos trabalhadores rurais, valorizamos outras características culturais e políticas do trabalho na lavoura. Explique por quê.</w:t>
      </w:r>
    </w:p>
    <w:p w14:paraId="1E42DE3C" w14:textId="77777777" w:rsid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1A28688" w14:textId="6CB05475" w:rsidR="00B505B2" w:rsidRPr="00B505B2" w:rsidRDefault="001C4D51" w:rsidP="00B505B2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>
        <w:rPr>
          <w:rFonts w:ascii="Arial" w:hAnsi="Arial" w:cs="Arial"/>
          <w:bCs/>
          <w:color w:val="FF0000"/>
          <w:sz w:val="24"/>
          <w:szCs w:val="24"/>
          <w:lang w:eastAsia="zh-CN"/>
        </w:rPr>
        <w:t>O</w:t>
      </w:r>
      <w:r w:rsidR="00B505B2" w:rsidRPr="00B505B2">
        <w:rPr>
          <w:rFonts w:ascii="Arial" w:hAnsi="Arial" w:cs="Arial"/>
          <w:bCs/>
          <w:color w:val="FF0000"/>
          <w:sz w:val="24"/>
          <w:szCs w:val="24"/>
          <w:lang w:eastAsia="zh-CN"/>
        </w:rPr>
        <w:t>s agricultores familiares podem ser chamados de camponeses quando a análise vai além das relações econômicas, valorizando-se as tradições culturais das famílias de lavradores e seu posicionamento político contrário ao agronegócio.</w:t>
      </w:r>
    </w:p>
    <w:p w14:paraId="45BB7B71" w14:textId="77777777" w:rsid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30FE2F4" w14:textId="52605C24" w:rsid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</w:t>
      </w:r>
      <w:r w:rsidRPr="00B505B2">
        <w:rPr>
          <w:rFonts w:ascii="Arial" w:hAnsi="Arial" w:cs="Arial"/>
          <w:bCs/>
          <w:sz w:val="24"/>
          <w:szCs w:val="24"/>
          <w:lang w:eastAsia="zh-CN"/>
        </w:rPr>
        <w:t>A Organização para Alimentação e Agricultura (FAO) definiu, em 1996, o conceito de segurança alimentar e nutricional como a forma de “garantir a todos condições de acesso a alimentos básicos de qualidade, em quantidade suficiente, de modo permanente e sem comprometer o acesso a outras necessidades essenciais em um contexto de desenvolvimento integral da pessoa humana”. A ideia de soberania alimentar surgiu como crítica, de certo modo, a esse ponto de vista. Explique por quê.</w:t>
      </w:r>
    </w:p>
    <w:p w14:paraId="55BBA9B8" w14:textId="77777777" w:rsidR="001C4D51" w:rsidRPr="00B505B2" w:rsidRDefault="001C4D51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382726C" w14:textId="77777777" w:rsidR="00B505B2" w:rsidRP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B505B2">
        <w:rPr>
          <w:rFonts w:ascii="Arial" w:hAnsi="Arial" w:cs="Arial"/>
          <w:bCs/>
          <w:color w:val="FF0000"/>
          <w:sz w:val="24"/>
          <w:szCs w:val="24"/>
          <w:lang w:eastAsia="zh-CN"/>
        </w:rPr>
        <w:t>O conceito de soberania alimentar é mais crítico por relacionar o desenvolvimento integral da pessoa humana com a liberdade dos povos. Para ser livre, um povo precisa ser soberano — e essa soberania passa, necessariamente, pela alimentação.</w:t>
      </w:r>
    </w:p>
    <w:p w14:paraId="4AE8A4B1" w14:textId="77777777" w:rsidR="00B505B2" w:rsidRDefault="00B505B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C045C44" w14:textId="2E54914B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D56B5FF" w14:textId="1486DAF9" w:rsidR="003A3B72" w:rsidRPr="004726EE" w:rsidRDefault="003A3B72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4726EE">
        <w:rPr>
          <w:rFonts w:ascii="Arial" w:hAnsi="Arial" w:cs="Arial"/>
          <w:b/>
          <w:sz w:val="24"/>
          <w:szCs w:val="24"/>
          <w:lang w:eastAsia="zh-CN"/>
        </w:rPr>
        <w:t>Pág. 2</w:t>
      </w:r>
      <w:r w:rsidR="00EB5D88" w:rsidRPr="004726EE">
        <w:rPr>
          <w:rFonts w:ascii="Arial" w:hAnsi="Arial" w:cs="Arial"/>
          <w:b/>
          <w:sz w:val="24"/>
          <w:szCs w:val="24"/>
          <w:lang w:eastAsia="zh-CN"/>
        </w:rPr>
        <w:t>75</w:t>
      </w:r>
      <w:r w:rsidRPr="004726EE">
        <w:rPr>
          <w:rFonts w:ascii="Arial" w:hAnsi="Arial" w:cs="Arial"/>
          <w:b/>
          <w:sz w:val="24"/>
          <w:szCs w:val="24"/>
          <w:lang w:eastAsia="zh-CN"/>
        </w:rPr>
        <w:t xml:space="preserve"> (nº 1 ao </w:t>
      </w:r>
      <w:r w:rsidR="00EB5D88" w:rsidRPr="004726EE">
        <w:rPr>
          <w:rFonts w:ascii="Arial" w:hAnsi="Arial" w:cs="Arial"/>
          <w:b/>
          <w:sz w:val="24"/>
          <w:szCs w:val="24"/>
          <w:lang w:eastAsia="zh-CN"/>
        </w:rPr>
        <w:t>2</w:t>
      </w:r>
      <w:r w:rsidRPr="004726EE">
        <w:rPr>
          <w:rFonts w:ascii="Arial" w:hAnsi="Arial" w:cs="Arial"/>
          <w:b/>
          <w:sz w:val="24"/>
          <w:szCs w:val="24"/>
          <w:lang w:eastAsia="zh-CN"/>
        </w:rPr>
        <w:t>)</w:t>
      </w:r>
    </w:p>
    <w:p w14:paraId="48E79A87" w14:textId="51D34795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8303051" w14:textId="1703C410" w:rsidR="00B505B2" w:rsidRDefault="004152BF" w:rsidP="004152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="00B505B2" w:rsidRPr="00B505B2">
        <w:rPr>
          <w:rFonts w:ascii="Arial" w:hAnsi="Arial" w:cs="Arial"/>
          <w:bCs/>
          <w:sz w:val="24"/>
          <w:szCs w:val="24"/>
          <w:lang w:eastAsia="zh-CN"/>
        </w:rPr>
        <w:t>De que forma era possível adquirir terras na América portuguesa? Quais foram os reflexos disso na origem das propriedades rurais brasileiras?</w:t>
      </w:r>
    </w:p>
    <w:p w14:paraId="20A38F5D" w14:textId="77777777" w:rsidR="004152BF" w:rsidRPr="00B505B2" w:rsidRDefault="004152BF" w:rsidP="004152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BBA79C8" w14:textId="77777777" w:rsidR="00B505B2" w:rsidRP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B505B2">
        <w:rPr>
          <w:rFonts w:ascii="Arial" w:hAnsi="Arial" w:cs="Arial"/>
          <w:bCs/>
          <w:color w:val="FF0000"/>
          <w:sz w:val="24"/>
          <w:szCs w:val="24"/>
          <w:lang w:eastAsia="zh-CN"/>
        </w:rPr>
        <w:t>A Coroa portuguesa instituiu um sistema de doação de terras denominado sesmarias, por meio do qual o rei de Portugal concedia terras brasileiras aos interessados em cultivá-las. No entanto, como o plantio da cana exigia grandes investimentos, as terras foram doadas apenas às famílias abastadas. Por isso, até hoje, há uma relação direta entre a elite político-econômica e a propriedade de terras. Além disso, a estrutura fundiária brasileira dividiu-se entre pequenas propriedades, que visam à subsistência ou ao abastecimento do mercado interno, e grandes propriedades, que produzem para abastecer o mercado externo.</w:t>
      </w:r>
    </w:p>
    <w:p w14:paraId="0B736477" w14:textId="77777777" w:rsidR="004152BF" w:rsidRDefault="004152BF" w:rsidP="004152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BDEA5C7" w14:textId="12AA8089" w:rsidR="00B505B2" w:rsidRPr="00B505B2" w:rsidRDefault="004152BF" w:rsidP="004152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</w:t>
      </w:r>
      <w:r w:rsidR="00B505B2" w:rsidRPr="00B505B2">
        <w:rPr>
          <w:rFonts w:ascii="Arial" w:hAnsi="Arial" w:cs="Arial"/>
          <w:bCs/>
          <w:sz w:val="24"/>
          <w:szCs w:val="24"/>
          <w:lang w:eastAsia="zh-CN"/>
        </w:rPr>
        <w:t>Explique por que a estrutura fundiária brasileira é geradora de conflitos sociais no campo.</w:t>
      </w:r>
    </w:p>
    <w:p w14:paraId="46DB348D" w14:textId="77777777" w:rsidR="004152BF" w:rsidRDefault="004152BF" w:rsidP="00B50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8A9F02" w14:textId="0685675E" w:rsidR="00B505B2" w:rsidRPr="00B505B2" w:rsidRDefault="00B505B2" w:rsidP="00B505B2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B505B2">
        <w:rPr>
          <w:rFonts w:ascii="Arial" w:hAnsi="Arial" w:cs="Arial"/>
          <w:bCs/>
          <w:color w:val="FF0000"/>
          <w:sz w:val="24"/>
          <w:szCs w:val="24"/>
          <w:lang w:eastAsia="zh-CN"/>
        </w:rPr>
        <w:t>Ao ser assinada, a Lei de Terras definiu novos critérios para a posse de terras no Brasil. A partir daquele momento, a terra, antes considerada patrimônio pessoal do rei e obtida por doação, passou a ser adquirida mediante o poder de compra. Com isso, foi reafirmada e estimulada a tradição latifundiária do país; a obrigação da compra sancionou o poderio dos grandes proprietários, a quem a terra havia sido destinada desde o início da ocupação, dificultando ainda mais o acesso dos pequenos agricultores.</w:t>
      </w:r>
    </w:p>
    <w:p w14:paraId="316E106C" w14:textId="77777777" w:rsidR="00B505B2" w:rsidRDefault="00B505B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1138E00" w14:textId="0D4AEA3A" w:rsidR="003A3B72" w:rsidRDefault="00EB5D88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>Pág. 278 (nº 1 ao 3)</w:t>
      </w:r>
    </w:p>
    <w:p w14:paraId="0E086BB8" w14:textId="7419319B" w:rsidR="002508D5" w:rsidRDefault="002508D5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590F741" w14:textId="7204D2F4" w:rsidR="002508D5" w:rsidRDefault="002508D5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 </w:t>
      </w:r>
      <w:r w:rsidRPr="004726EE">
        <w:rPr>
          <w:rFonts w:ascii="Arial" w:hAnsi="Arial" w:cs="Arial"/>
          <w:bCs/>
          <w:color w:val="FF0000"/>
          <w:sz w:val="24"/>
          <w:szCs w:val="24"/>
          <w:lang w:eastAsia="zh-CN"/>
        </w:rPr>
        <w:t>E</w:t>
      </w:r>
    </w:p>
    <w:p w14:paraId="3E1DD274" w14:textId="09E2C897" w:rsidR="004726EE" w:rsidRDefault="004726E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 </w:t>
      </w:r>
      <w:r w:rsidRPr="004726EE">
        <w:rPr>
          <w:rFonts w:ascii="Arial" w:hAnsi="Arial" w:cs="Arial"/>
          <w:bCs/>
          <w:color w:val="FF0000"/>
          <w:sz w:val="24"/>
          <w:szCs w:val="24"/>
          <w:lang w:eastAsia="zh-CN"/>
        </w:rPr>
        <w:t>B</w:t>
      </w:r>
    </w:p>
    <w:p w14:paraId="5127C1C3" w14:textId="1F68ABAE" w:rsidR="004726EE" w:rsidRDefault="004726E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3 </w:t>
      </w:r>
      <w:r w:rsidRPr="004726EE">
        <w:rPr>
          <w:rFonts w:ascii="Arial" w:hAnsi="Arial" w:cs="Arial"/>
          <w:bCs/>
          <w:color w:val="FF0000"/>
          <w:sz w:val="24"/>
          <w:szCs w:val="24"/>
          <w:lang w:eastAsia="zh-CN"/>
        </w:rPr>
        <w:t>C</w:t>
      </w:r>
    </w:p>
    <w:p w14:paraId="5CA69500" w14:textId="77777777" w:rsidR="004726EE" w:rsidRPr="005A3F39" w:rsidRDefault="004726E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4726EE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7575"/>
    <w:multiLevelType w:val="multilevel"/>
    <w:tmpl w:val="CF00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FEF"/>
    <w:multiLevelType w:val="multilevel"/>
    <w:tmpl w:val="313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EEA"/>
    <w:multiLevelType w:val="multilevel"/>
    <w:tmpl w:val="BF0E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464C"/>
    <w:multiLevelType w:val="multilevel"/>
    <w:tmpl w:val="31E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C4D51"/>
    <w:rsid w:val="001D67F2"/>
    <w:rsid w:val="001E2C71"/>
    <w:rsid w:val="00230B82"/>
    <w:rsid w:val="002508D5"/>
    <w:rsid w:val="002F701D"/>
    <w:rsid w:val="00324D1B"/>
    <w:rsid w:val="003A3B72"/>
    <w:rsid w:val="004152BF"/>
    <w:rsid w:val="00420E7A"/>
    <w:rsid w:val="00430058"/>
    <w:rsid w:val="00450922"/>
    <w:rsid w:val="004726EE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5B2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B5D88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61</cp:revision>
  <dcterms:created xsi:type="dcterms:W3CDTF">2020-03-30T12:51:00Z</dcterms:created>
  <dcterms:modified xsi:type="dcterms:W3CDTF">2020-10-06T13:55:00Z</dcterms:modified>
</cp:coreProperties>
</file>